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rPr/>
      </w:pPr>
      <w:bookmarkStart w:id="0" w:name="_GoBack"/>
      <w:bookmarkEnd w:id="0"/>
      <w:r>
        <w:rPr>
          <w:rFonts w:eastAsia="Palatino Linotype" w:ascii="Palatino Linotype" w:hAnsi="Palatino Linotype"/>
          <w:b/>
          <w:sz w:val="24"/>
        </w:rPr>
        <w:t xml:space="preserve">        </w:t>
      </w:r>
      <w:r>
        <w:rPr/>
        <w:drawing>
          <wp:inline distT="0" distB="0" distL="0" distR="0">
            <wp:extent cx="466725" cy="69786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alatino Linotype" w:ascii="Palatino Linotype" w:hAnsi="Palatino Linotype"/>
          <w:b/>
          <w:sz w:val="24"/>
        </w:rPr>
        <w:tab/>
        <w:tab/>
        <w:tab/>
        <w:t xml:space="preserve">                                                </w:t>
        <w:tab/>
      </w:r>
      <w:r>
        <w:rPr/>
        <w:drawing>
          <wp:inline distT="0" distB="0" distL="0" distR="0">
            <wp:extent cx="1527810" cy="704850"/>
            <wp:effectExtent l="0" t="0" r="0" b="0"/>
            <wp:docPr id="2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alatino Linotype" w:ascii="Palatino Linotype" w:hAnsi="Palatino Linotype"/>
          <w:b/>
          <w:sz w:val="24"/>
        </w:rPr>
        <w:tab/>
        <w:tab/>
        <w:tab/>
        <w:tab/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rPr>
          <w:b w:val="false"/>
          <w:b w:val="false"/>
          <w:bCs w:val="false"/>
          <w:sz w:val="24"/>
          <w:szCs w:val="24"/>
        </w:rPr>
      </w:pPr>
      <w:r>
        <w:rPr>
          <w:rFonts w:eastAsia="Palatino Linotype" w:ascii="Palatino Linotype" w:hAnsi="Palatino Linotype"/>
          <w:b w:val="false"/>
          <w:bCs w:val="false"/>
          <w:sz w:val="24"/>
          <w:szCs w:val="24"/>
        </w:rPr>
        <w:t>Prot. n. 149116/2019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b/>
          <w:sz w:val="24"/>
        </w:rPr>
        <w:t xml:space="preserve">  </w:t>
      </w:r>
      <w:r>
        <w:rPr>
          <w:rFonts w:eastAsia="Palatino Linotype" w:ascii="Palatino Linotype" w:hAnsi="Palatino Linotype"/>
          <w:b/>
          <w:sz w:val="24"/>
        </w:rPr>
        <w:t xml:space="preserve">ACCORDO DI PARTNERSHIP 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b/>
          <w:sz w:val="24"/>
        </w:rPr>
        <w:t>tra il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b/>
          <w:sz w:val="24"/>
        </w:rPr>
        <w:t>Comune di Vicenza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(di seguito denominato Comune)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e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 </w:t>
      </w:r>
      <w:r>
        <w:rPr>
          <w:rFonts w:eastAsia="Palatino Linotype" w:ascii="Palatino Linotype" w:hAnsi="Palatino Linotype"/>
          <w:b/>
          <w:sz w:val="24"/>
        </w:rPr>
        <w:t>Confcommercio - Imprese per l’Italia della Provincia di Vicenza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(di seguito denominato Confcommercio)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b/>
          <w:sz w:val="24"/>
        </w:rPr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b/>
          <w:sz w:val="24"/>
        </w:rPr>
        <w:t>“</w:t>
      </w:r>
      <w:r>
        <w:rPr>
          <w:rFonts w:eastAsia="Palatino Linotype" w:ascii="Palatino Linotype" w:hAnsi="Palatino Linotype"/>
          <w:b/>
          <w:sz w:val="24"/>
        </w:rPr>
        <w:t xml:space="preserve">VICENZA IN FESTIVAL 2019" 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b/>
          <w:b/>
          <w:sz w:val="24"/>
        </w:rPr>
      </w:pPr>
      <w:r>
        <w:rPr>
          <w:rFonts w:eastAsia="Palatino Linotype" w:ascii="Palatino Linotype" w:hAnsi="Palatino Linotype"/>
          <w:b/>
          <w:sz w:val="24"/>
        </w:rPr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Premesso che</w:t>
      </w:r>
    </w:p>
    <w:p>
      <w:pPr>
        <w:pStyle w:val="Normal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center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le Parti ritengono che le forme di partecipazione condivisa, espresse mediante “accordi volontari” siano coerenti con il proprio programma di “social responsibility” e rappresentino gli strumenti più idonei per attuare una politica per lo sviluppo culturale, economico, sociale e ambientale della comunità;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il Comune favorisce e promuove la collaborazione con soggetti pubblici e privati per la realizzazione di iniziative rilevanti per lo sviluppo culturale, sociale, civile ed economico della comunità;</w:t>
      </w:r>
    </w:p>
    <w:p>
      <w:pPr>
        <w:pStyle w:val="Normal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57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il Comune promuove e gestisce in collaborazione con altri soggetti, pubblici e privati, operanti a scala locale, nazionale, sovranazionale ed internazionale, attività di comune interesse nei settori relativi alle proprie finalità istituzionali;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Confcommercio promuove forme di collaborazione volte a conseguire più articolate e vaste finalità di progresso e sviluppo dei soggetti rappresentati, valorizzando gli interessi delle imprese del Commercio, del Turismo e dei Servizi, promuovendo e riconoscendo il proprio ruolo economico e sociale;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Confcommercio ha tra i principi e valori del proprio Statuto lo sviluppo sociale ed economico volto a contribuire al benessere di tutta la collettività attraverso un’economia aperta, competitiva e di mercato;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left="426" w:right="0" w:hanging="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Confcommercio è l’Associazione più rappresentativa del settore Commercio, Turismo e dei Servizi e grazie all’esperienza maturata risponde con un approccio attento ai diversi problemi e alle diverse opportunità di sviluppo mettendo a disposizione conoscenze e strumenti utili a rivitalizzare, valorizzare e promuovere opportunità di sviluppo economico della città di Vicenza;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left="426" w:right="0" w:hanging="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Il turismo rappresenta per Vicenza un fattore di crescita e occupazione, oltre che un presupposto per una politica di sviluppo urbano;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left="426" w:right="0" w:hanging="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Le Parti riconoscono che, in considerazione dell’importanza del settore turistico, è necessario mettere in atto strategie ed azioni, anche di sperimentazione, volte a supportare il pieno sviluppo del turismo; 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left="426" w:right="0" w:hanging="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Confcommercio per le finalità del presente accordo dà mandato alla Società Due Punti srl, specializzata nella comunicazione e nell’organizzazione di eventi ed è disponibile ad organizzare, negli spazi che verranno messi a disposizione dal Comune di Vicenza, degli spettacoli di grande richiamo per il pubblico, utilizzando mezzi e personale proprio;  </w:t>
      </w:r>
    </w:p>
    <w:p>
      <w:pPr>
        <w:pStyle w:val="Normal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Normal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Visto e considerato quanto in premessa, le parti convengono quanto segue:</w:t>
      </w:r>
    </w:p>
    <w:p>
      <w:pPr>
        <w:pStyle w:val="Normal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Le Parti collaboreranno sul piano istituzionale, amministrativo e tecnico operativo per lo studio, lo sviluppo e l’attuazione nel Comune di Vicenza di un programma quinquennale di eventi e spettacoli denominato “Vicenza in Festival 2019 - 2023” in occasione della settimana della fiera dell’oro e di ViOff, che si svolgono nel mese di settembre di ogni anno.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Il programma consiste nella realizzazione di esibizioni di artisti di primissimo piano in Piazza dei Signori con un programma musicale che possa accogliere i gusti musicale di un pubblico eterogeneo. 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Due Punti srl sottoporrà al Comune di Vicenza ed a Confcommercio Vicenza un progetto con indicati tempi, modi e modalità di organizzazione degli eventi.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Due Punti srl organizzerà gli eventi secondo il programma che verrà concordato con il Comune di Vicenza e Confcommercio di anno in anno.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Due Punti srl gestirà gli eventi in autonomia con responsabilità diretta di mezzi, strumenti e persone e si farà carico di ogni adempimento amministrativo e fiscale, nel rispetto delle vigenti leggi e norme anche in materia di sicurezza sul lavoro, previdenza ed assistenza e diritto d’autore. Unitamente al progetto allegherà la documentazione comprovante il rispetto delle citate normative, al fine di comprovare il proprio buon operato. 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Confcommercio Vicenza si impegna a promuovere e sostenere l’iniziativa attraverso i propri canali di comunicazione istituzionale e con la propria attività di divulgazione e di informazione.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Confcommercio Vicenza coinvolgerà anche le attività commerciali e della somministrazione aderenti , diffondendo depliant e locandine.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Il Comune di Vicenza si impegna a sostenere il progetto concedendo il patrocinio  e mettendo a disposizione a titolo gratuito i seguenti spazi e servizi: 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occupazione suolo pubblico di Piazza dei Signori e di luoghi circostanti per aree concerti , aree tecniche, camerini, uffici e magazzini. L'esenzione prevista riguarda gli eventi a partecipazione libera da parte della cittadinanza, mentre per quelli a pagamento, stante le finalità di promozione sottesa, viene prevista la riduzione del canone rimandando agli uffici la relativa quantificazione;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posti auto pe rlo staff organizzativo;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pulizia delle aree interessate;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fornitura e collegamenti elettrici necessari;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proroga dei limiti di orario previsti per le attività d’intrattenimento nelle serate degli eventi. 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Date ed orari sono precisati nei progetti approvati dal Comune di Vicenza. </w:t>
      </w:r>
    </w:p>
    <w:p>
      <w:pPr>
        <w:pStyle w:val="ListParagraph"/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Il Comune di Vicenza inoltre sosterrà le iniziative mediante l’erogazione di un contributo, compatibilmente con le risorse che verranno stanziate nel bilancio annuale.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Le Parti si impegnano a promuovere attraverso i rispettivi canali istituzionali il presente progetto.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Le Parti si impegnano a studiare ed integrare il progetto per il raggiungimento degli obiettivi indicati in premessa. 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Il Comune di Vicenza assicura la piena collaborazione degli uffici e/o degli enti pubblici collegati per la realizzazione degli eventi concordati.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Il Comune di Vicenza riconosce Confcommercio e la società Due Punti srl come esclusivi protagonisti del progetto e si impegna a non coinvolgere altre associazioni di categoria o società, senza il reciproco consenso.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La stipula del presente accordo è tassativamente limitata alla partnership per l’iniziativa sopra indicata con le modalità ed i limiti concordati. 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La stipula del presente accordo esclude in modo totale qualsiasi rapporto di corresponsabilità tra Comune di Vicenza e/o Confcommercio Vicenza nella concreta organizzazione amministrativa, contabile e gestionale degli eventi che rimane in capo a Due Punti srl , in modo che Comune di Vicenza e/o Confcommercio Vicenza non possano essere ritenuti responsabili delle obbligazioni assunte da Due Punti srl. In particolare, si stabilisce che qualunque obbligazione che la società Due Punti srl andrà a contrarre con dipendenti, collaboratori, artisti o terzi, sarà di sua esclusiva responsabilità. Di tali obbligazioni dovrà rispondere Due Punti srl soltanto con esclusione specifica di ogni altra e qualsiasi responsabilità o solidarietà a carico del Comune di Vicenza e/o Confcommercio Vicenza 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Comune di Vicenza e/o Confcommercio Vicenza sono sollevati da ogni responsabilità amministrativa, civile e penale relativamente all'allestimento, all'organizzazione ed allo svolgimento degli eventi culturali, in modo particolare con riferimento ai mezzi ed alle persone impegnate per la sua realizzazione ed ai terzi eventualmente coinvolti.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Per l’attuazione delle singole attività di cui sopra, le Parti costituiscono un Gruppo di Coordinamento, al quale è conferito il compito di valutare, promuovere, organizzare e monitorare le iniziative di comune interesse. Il Gruppo di Coordinamento si riunirà almeno una volta al mese e/o tutte le volte che venga ritenuto opportuno.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Il presente accordo è concluso “intuitu fiduciae” e non è cedibile a terzi.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42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0"/>
        <w:ind w:left="426" w:right="0" w:hanging="360"/>
        <w:jc w:val="both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Ciascuna delle parti potrà risolvere il presente accordo, ai sensi dell’art. 1456 c.c., mediante comunicazione scritta da inviarsi alle altre con lettera raccomandata a.r. o pec qualora emergano fatti che configurino una grave irregolarità amministrativa o illeciti e comunque al ricorrere di vicende tali da rendere la continuazione del rapporto dannosa per la propria immagine.</w:t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Letto, confermato e sottoscritto.</w:t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Vicenza, data  ………………………..</w:t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269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Comune di Vicenza</w:t>
        <w:tab/>
        <w:tab/>
        <w:tab/>
        <w:tab/>
        <w:tab/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Il Direttore del Settore </w:t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SUAP, Edilizia Privata, Turismo e Manifestazioni</w:t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_________________________________________</w:t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ab/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Confcommercio Imprese per l'Italia</w:t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 xml:space="preserve">Il Direttore </w:t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  <w:t>__________________________</w:t>
        <w:tab/>
        <w:tab/>
        <w:tab/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>
          <w:rFonts w:ascii="Palatino Linotype" w:hAnsi="Palatino Linotype" w:eastAsia="Palatino Linotype"/>
          <w:sz w:val="24"/>
        </w:rPr>
      </w:pPr>
      <w:r>
        <w:rPr>
          <w:rFonts w:eastAsia="Palatino Linotype" w:ascii="Palatino Linotype" w:hAnsi="Palatino Linotype"/>
          <w:sz w:val="24"/>
        </w:rPr>
      </w:r>
    </w:p>
    <w:p>
      <w:pPr>
        <w:pStyle w:val="Corpodeltesto"/>
        <w:tabs>
          <w:tab w:val="clear" w:pos="1134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0" w:after="120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54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9638"/>
        <w:tab w:val="center" w:pos="4819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9637" w:leader="none"/>
        <w:tab w:val="left" w:pos="12474" w:leader="none"/>
        <w:tab w:val="left" w:pos="13608" w:leader="none"/>
        <w:tab w:val="left" w:pos="14742" w:leader="none"/>
        <w:tab w:val="left" w:pos="15876" w:leader="none"/>
        <w:tab w:val="left" w:pos="17010" w:leader="none"/>
        <w:tab w:val="left" w:pos="18144" w:leader="none"/>
        <w:tab w:val="left" w:pos="19278" w:leader="none"/>
      </w:tabs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tabs>
        <w:tab w:val="clear" w:pos="9638"/>
        <w:tab w:val="center" w:pos="4819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9637" w:leader="none"/>
        <w:tab w:val="left" w:pos="12474" w:leader="none"/>
        <w:tab w:val="left" w:pos="13608" w:leader="none"/>
        <w:tab w:val="left" w:pos="14742" w:leader="none"/>
        <w:tab w:val="left" w:pos="15876" w:leader="none"/>
        <w:tab w:val="left" w:pos="17010" w:leader="none"/>
        <w:tab w:val="left" w:pos="18144" w:leader="none"/>
        <w:tab w:val="left" w:pos="19278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dstrike w:val="false"/>
        <w:strike w:val="false"/>
        <w:sz w:val="24"/>
        <w:i w:val="false"/>
        <w:u w:val="none"/>
        <w:b w:val="false"/>
        <w:rFonts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426"/>
        </w:tabs>
        <w:ind w:left="426" w:hanging="357"/>
      </w:pPr>
      <w:rPr>
        <w:rFonts w:ascii="Symbol" w:hAnsi="Symbol" w:cs="Symbol" w:hint="default"/>
        <w:dstrike w:val="false"/>
        <w:strike w:val="false"/>
        <w:sz w:val="24"/>
        <w:i w:val="false"/>
        <w:u w:val="none"/>
        <w:b w:val="false"/>
        <w:rFonts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dstrike w:val="false"/>
        <w:strike w:val="false"/>
        <w:sz w:val="24"/>
        <w:i w:val="false"/>
        <w:u w:val="none"/>
        <w:b w:val="false"/>
        <w:rFonts w:ascii="Palatino Linotype" w:hAnsi="Palatino Linotype" w:eastAsia="Palatino Linotyp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dstrike w:val="false"/>
        <w:strike w:val="false"/>
        <w:sz w:val="24"/>
        <w:i w:val="false"/>
        <w:u w:val="none"/>
        <w:b w:val="false"/>
        <w:rFonts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sz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Arial"/>
      <w:b w:val="false"/>
      <w:i w:val="false"/>
      <w:strike w:val="false"/>
      <w:dstrike w:val="false"/>
      <w:color w:val="auto"/>
      <w:kern w:val="0"/>
      <w:sz w:val="22"/>
      <w:szCs w:val="20"/>
      <w:shd w:fill="auto" w:val="clear"/>
      <w:lang w:val="it-IT" w:eastAsia="zh-CN" w:bidi="hi-IN"/>
    </w:rPr>
  </w:style>
  <w:style w:type="character" w:styleId="FooterChar">
    <w:name w:val="Footer Char"/>
    <w:qFormat/>
    <w:rPr>
      <w:rFonts w:ascii="Calibri" w:hAnsi="Calibri" w:eastAsia="Calibri"/>
    </w:rPr>
  </w:style>
  <w:style w:type="character" w:styleId="BodyTextChar">
    <w:name w:val="Body Text Char"/>
    <w:qFormat/>
    <w:rPr>
      <w:rFonts w:ascii="Calibri" w:hAnsi="Calibri" w:eastAsia="Calibri"/>
    </w:rPr>
  </w:style>
  <w:style w:type="character" w:styleId="TitleChar">
    <w:name w:val="Title Char"/>
    <w:qFormat/>
    <w:rPr>
      <w:rFonts w:ascii="Cambria" w:hAnsi="Cambria" w:eastAsia="Cambria"/>
      <w:b/>
      <w:sz w:val="32"/>
    </w:rPr>
  </w:style>
  <w:style w:type="character" w:styleId="HeaderChar">
    <w:name w:val="Header Char"/>
    <w:qFormat/>
    <w:rPr>
      <w:rFonts w:ascii="Calibri" w:hAnsi="Calibri" w:eastAsia="Calibri"/>
    </w:rPr>
  </w:style>
  <w:style w:type="character" w:styleId="BalloonTextChar">
    <w:name w:val="Balloon Text Char"/>
    <w:qFormat/>
    <w:rPr>
      <w:rFonts w:ascii="Times New Roman" w:hAnsi="Times New Roman" w:eastAsia="Times New Roman"/>
    </w:rPr>
  </w:style>
  <w:style w:type="character" w:styleId="IntestazioneCarattere">
    <w:name w:val="Intestazione Carattere"/>
    <w:qFormat/>
    <w:rPr/>
  </w:style>
  <w:style w:type="character" w:styleId="PidipaginaCarattere">
    <w:name w:val="Piè di pagina Carattere"/>
    <w:qFormat/>
    <w:rPr/>
  </w:style>
  <w:style w:type="character" w:styleId="TestofumettoCarattere">
    <w:name w:val="Testo fumetto Carattere"/>
    <w:qFormat/>
    <w:rPr>
      <w:rFonts w:ascii="Tahoma" w:hAnsi="Tahoma" w:eastAsia="Tahoma"/>
      <w:sz w:val="16"/>
    </w:rPr>
  </w:style>
  <w:style w:type="character" w:styleId="CorpotestoCarattere">
    <w:name w:val="Corpo testo Carattere"/>
    <w:qFormat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Palatino Linotype" w:hAnsi="Palatino Linotype" w:eastAsia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4">
    <w:name w:val="ListLabel 4"/>
    <w:qFormat/>
    <w:rPr>
      <w:rFonts w:ascii="Palatino Linotype" w:hAnsi="Palatino Linotype" w:eastAsia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5">
    <w:name w:val="ListLabel 5"/>
    <w:qFormat/>
    <w:rPr>
      <w:rFonts w:ascii="Palatino Linotype" w:hAnsi="Palatino Linotype" w:eastAsia="Palatino Linotype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6">
    <w:name w:val="ListLabel 6"/>
    <w:qFormat/>
    <w:rPr>
      <w:rFonts w:ascii="Palatino Linotype" w:hAnsi="Palatino Linotype" w:eastAsia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7">
    <w:name w:val="ListLabel 7"/>
    <w:qFormat/>
    <w:rPr>
      <w:rFonts w:ascii="Palatino Linotype" w:hAnsi="Palatino Linotype" w:cs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8">
    <w:name w:val="ListLabel 8"/>
    <w:qFormat/>
    <w:rPr>
      <w:rFonts w:ascii="Palatino Linotype" w:hAnsi="Palatino Linotype" w:cs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9">
    <w:name w:val="ListLabel 9"/>
    <w:qFormat/>
    <w:rPr>
      <w:rFonts w:ascii="Palatino Linotype" w:hAnsi="Palatino Linotype" w:eastAsia="Palatino Linotype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10">
    <w:name w:val="ListLabel 10"/>
    <w:qFormat/>
    <w:rPr>
      <w:rFonts w:ascii="Palatino Linotype" w:hAnsi="Palatino Linotype" w:cs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11">
    <w:name w:val="ListLabel 11"/>
    <w:qFormat/>
    <w:rPr>
      <w:rFonts w:ascii="Palatino Linotype" w:hAnsi="Palatino Linotype" w:cs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12">
    <w:name w:val="ListLabel 12"/>
    <w:qFormat/>
    <w:rPr>
      <w:rFonts w:ascii="Palatino Linotype" w:hAnsi="Palatino Linotype" w:cs="Symbol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13">
    <w:name w:val="ListLabel 13"/>
    <w:qFormat/>
    <w:rPr>
      <w:rFonts w:ascii="Palatino Linotype" w:hAnsi="Palatino Linotype" w:eastAsia="Palatino Linotype"/>
      <w:b w:val="false"/>
      <w:i w:val="false"/>
      <w:strike w:val="false"/>
      <w:dstrike w:val="false"/>
      <w:color w:val="auto"/>
      <w:sz w:val="24"/>
      <w:u w:val="none"/>
    </w:rPr>
  </w:style>
  <w:style w:type="character" w:styleId="ListLabel14">
    <w:name w:val="ListLabel 14"/>
    <w:qFormat/>
    <w:rPr>
      <w:rFonts w:ascii="Palatino Linotype" w:hAnsi="Palatino Linotype" w:cs="Symbol"/>
      <w:b w:val="false"/>
      <w:i w:val="false"/>
      <w:strike w:val="false"/>
      <w:dstrike w:val="false"/>
      <w:color w:val="auto"/>
      <w:sz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qFormat/>
    <w:pPr>
      <w:spacing w:lineRule="auto" w:line="288" w:before="0" w:after="140"/>
    </w:pPr>
    <w:rPr/>
  </w:style>
  <w:style w:type="paragraph" w:styleId="Elenco">
    <w:name w:val="List"/>
    <w:basedOn w:val="Corpodeltesto"/>
    <w:qFormat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/>
    <w:rPr/>
  </w:style>
  <w:style w:type="paragraph" w:styleId="Normal1" w:default="1">
    <w:name w:val="[Normal]"/>
    <w:qFormat/>
    <w:pPr>
      <w:widowControl w:val="false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b w:val="false"/>
      <w:i w:val="false"/>
      <w:strike w:val="false"/>
      <w:dstrike w:val="false"/>
      <w:color w:val="auto"/>
      <w:kern w:val="0"/>
      <w:sz w:val="24"/>
      <w:szCs w:val="20"/>
      <w:shd w:fill="auto" w:val="clear"/>
      <w:lang w:val="it-IT" w:eastAsia="zh-CN" w:bidi="hi-IN"/>
    </w:rPr>
  </w:style>
  <w:style w:type="paragraph" w:styleId="Pidipagina">
    <w:name w:val="Footer"/>
    <w:basedOn w:val="Normal"/>
    <w:qFormat/>
    <w:pPr>
      <w:tabs>
        <w:tab w:val="clear" w:pos="113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ile3">
    <w:name w:val="Stile3"/>
    <w:basedOn w:val="Corpodeltesto"/>
    <w:qFormat/>
    <w:pPr>
      <w:widowControl w:val="false"/>
      <w:tabs>
        <w:tab w:val="clear" w:pos="1134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</w:tabs>
      <w:spacing w:lineRule="atLeast" w:line="480" w:before="0" w:after="0"/>
      <w:ind w:left="284" w:right="141" w:hanging="0"/>
      <w:jc w:val="both"/>
    </w:pPr>
    <w:rPr>
      <w:rFonts w:ascii="Times New Roman" w:hAnsi="Times New Roman" w:eastAsia="Times New Roman"/>
      <w:sz w:val="24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Liberation Sans"/>
      <w:sz w:val="28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testazione">
    <w:name w:val="Header"/>
    <w:basedOn w:val="Normal"/>
    <w:qFormat/>
    <w:pPr>
      <w:tabs>
        <w:tab w:val="clear" w:pos="113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ahoma"/>
      <w:sz w:val="16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4"/>
    </w:rPr>
  </w:style>
  <w:style w:type="paragraph" w:styleId="DocumentMap">
    <w:name w:val="DocumentMap"/>
    <w:basedOn w:val="Normal1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Rule="auto" w:line="276" w:before="0" w:after="200"/>
    </w:pPr>
    <w:rPr>
      <w:rFonts w:ascii="Calibri" w:hAnsi="Calibri" w:eastAsia="Calibri"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4</Pages>
  <Words>1203</Words>
  <Characters>7080</Characters>
  <CharactersWithSpaces>8294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2020-06-18T13:26:00Z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Base">
    <vt:lpwstr>C:\Users\Sammarco_g\Downloads\</vt:lpwstr>
  </property>
</Properties>
</file>